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DACF6">
      <w:pPr>
        <w:spacing w:line="360" w:lineRule="auto"/>
        <w:ind w:left="0" w:leftChars="0" w:firstLine="0" w:firstLineChars="0"/>
        <w:jc w:val="center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黄槿</w:t>
      </w:r>
    </w:p>
    <w:p w14:paraId="232F7BC1">
      <w:pPr>
        <w:spacing w:line="36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H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uangjin</w:t>
      </w:r>
    </w:p>
    <w:p w14:paraId="23F24911">
      <w:pPr>
        <w:spacing w:line="360" w:lineRule="auto"/>
        <w:jc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  <w:lang w:val="en-US" w:eastAsia="zh-CN"/>
        </w:rPr>
        <w:t>HIBISCI TILIACEI CAULIS ET FOLIUM</w:t>
      </w:r>
    </w:p>
    <w:p w14:paraId="58789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本品为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锦葵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科植物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黄槿</w:t>
      </w:r>
      <w:r>
        <w:rPr>
          <w:rFonts w:hint="default" w:ascii="Times New Roman" w:hAnsi="Times New Roman" w:eastAsia="宋体" w:cs="Times New Roman"/>
          <w:i/>
          <w:color w:val="auto"/>
          <w:sz w:val="24"/>
          <w:szCs w:val="24"/>
          <w:lang w:val="en-US" w:eastAsia="zh-CN"/>
        </w:rPr>
        <w:t xml:space="preserve">Hibiscus tiliaceus </w:t>
      </w:r>
      <w:r>
        <w:rPr>
          <w:rFonts w:hint="default" w:ascii="Times New Roman" w:hAnsi="Times New Roman" w:eastAsia="宋体" w:cs="Times New Roman"/>
          <w:i w:val="0"/>
          <w:iCs/>
          <w:color w:val="auto"/>
          <w:sz w:val="24"/>
          <w:szCs w:val="24"/>
          <w:lang w:val="en-US" w:eastAsia="zh-CN"/>
        </w:rPr>
        <w:t>L.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的干燥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嫩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枝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叶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。全年可采，洗净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干燥。</w:t>
      </w:r>
    </w:p>
    <w:p w14:paraId="5AACA5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auto"/>
          <w:sz w:val="24"/>
        </w:rPr>
        <w:t>【性状】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枝</w:t>
      </w:r>
      <w:r>
        <w:rPr>
          <w:rFonts w:hint="default" w:ascii="Times New Roman" w:hAnsi="Times New Roman" w:cs="Times New Roman"/>
          <w:color w:val="auto"/>
        </w:rPr>
        <w:t>呈圆柱形，直</w:t>
      </w:r>
      <w:r>
        <w:rPr>
          <w:rFonts w:hint="default" w:ascii="Times New Roman" w:hAnsi="Times New Roman" w:cs="Times New Roman"/>
        </w:rPr>
        <w:t>径0.5～</w:t>
      </w:r>
      <w:r>
        <w:rPr>
          <w:rFonts w:hint="eastAsia" w:ascii="Times New Roman" w:hAnsi="Times New Roman" w:cs="Times New Roman"/>
          <w:lang w:val="en-US" w:eastAsia="zh-CN"/>
        </w:rPr>
        <w:t>1.5</w:t>
      </w:r>
      <w:r>
        <w:rPr>
          <w:rFonts w:hint="default" w:ascii="Times New Roman" w:hAnsi="Times New Roman" w:cs="Times New Roman"/>
        </w:rPr>
        <w:t>cm，表面灰绿色、灰黑色或红棕色，</w:t>
      </w:r>
      <w:r>
        <w:rPr>
          <w:rFonts w:hint="default" w:ascii="Times New Roman" w:hAnsi="Times New Roman" w:cs="Times New Roman"/>
          <w:lang w:val="en-US" w:eastAsia="zh-CN"/>
        </w:rPr>
        <w:t>节稍膨大，</w:t>
      </w:r>
      <w:r>
        <w:rPr>
          <w:rFonts w:hint="default" w:ascii="Times New Roman" w:hAnsi="Times New Roman" w:cs="Times New Roman"/>
        </w:rPr>
        <w:t>有突起的叶痕，质坚硬，不易折断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断面</w:t>
      </w:r>
      <w:r>
        <w:rPr>
          <w:rFonts w:hint="default" w:ascii="Times New Roman" w:hAnsi="Times New Roman" w:cs="Times New Roman"/>
          <w:lang w:val="en-US" w:eastAsia="zh-CN"/>
        </w:rPr>
        <w:t>淡黄色</w:t>
      </w:r>
      <w:r>
        <w:rPr>
          <w:rFonts w:hint="default" w:ascii="Times New Roman" w:hAnsi="Times New Roman" w:cs="Times New Roman"/>
        </w:rPr>
        <w:t>，可见髓部呈海绵状。小枝无毛或近于无毛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叶多皱缩，</w:t>
      </w:r>
      <w:r>
        <w:rPr>
          <w:rFonts w:hint="default" w:ascii="Times New Roman" w:hAnsi="Times New Roman" w:cs="Times New Roman"/>
          <w:lang w:val="en-US" w:eastAsia="zh-CN"/>
        </w:rPr>
        <w:t>完整</w:t>
      </w:r>
      <w:r>
        <w:rPr>
          <w:rFonts w:hint="eastAsia" w:ascii="Times New Roman" w:hAnsi="Times New Roman" w:cs="Times New Roman"/>
          <w:lang w:val="en-US" w:eastAsia="zh-CN"/>
        </w:rPr>
        <w:t>者</w:t>
      </w:r>
      <w:r>
        <w:rPr>
          <w:rFonts w:hint="default" w:ascii="Times New Roman" w:hAnsi="Times New Roman" w:cs="Times New Roman"/>
          <w:lang w:val="en-US" w:eastAsia="zh-CN"/>
        </w:rPr>
        <w:t>展平后呈</w:t>
      </w:r>
      <w:r>
        <w:rPr>
          <w:rFonts w:hint="default" w:ascii="Times New Roman" w:hAnsi="Times New Roman" w:cs="Times New Roman"/>
        </w:rPr>
        <w:t>近圆形或广卵形，</w:t>
      </w:r>
      <w:r>
        <w:rPr>
          <w:rFonts w:hint="default" w:ascii="Times New Roman" w:hAnsi="Times New Roman" w:cs="Times New Roman"/>
          <w:lang w:val="en-US" w:eastAsia="zh-CN"/>
        </w:rPr>
        <w:t>宽</w:t>
      </w:r>
      <w:r>
        <w:rPr>
          <w:rFonts w:hint="default" w:ascii="Times New Roman" w:hAnsi="Times New Roman" w:cs="Times New Roman"/>
        </w:rPr>
        <w:t>5～15cm，全缘或具不明显细圆齿，上</w:t>
      </w:r>
      <w:r>
        <w:rPr>
          <w:rFonts w:hint="default" w:ascii="Times New Roman" w:hAnsi="Times New Roman" w:cs="Times New Roman"/>
          <w:lang w:val="en-US" w:eastAsia="zh-CN"/>
        </w:rPr>
        <w:t>表面绿色至黄绿色</w:t>
      </w:r>
      <w:r>
        <w:rPr>
          <w:rFonts w:hint="default" w:ascii="Times New Roman" w:hAnsi="Times New Roman" w:cs="Times New Roman"/>
        </w:rPr>
        <w:t>，下</w:t>
      </w:r>
      <w:r>
        <w:rPr>
          <w:rFonts w:hint="default" w:ascii="Times New Roman" w:hAnsi="Times New Roman" w:cs="Times New Roman"/>
          <w:lang w:val="en-US" w:eastAsia="zh-CN"/>
        </w:rPr>
        <w:t>表</w:t>
      </w:r>
      <w:r>
        <w:rPr>
          <w:rFonts w:hint="default" w:ascii="Times New Roman" w:hAnsi="Times New Roman" w:cs="Times New Roman"/>
        </w:rPr>
        <w:t>面</w:t>
      </w:r>
      <w:r>
        <w:rPr>
          <w:rFonts w:hint="default" w:ascii="Times New Roman" w:hAnsi="Times New Roman" w:cs="Times New Roman"/>
          <w:lang w:val="en-US" w:eastAsia="zh-CN"/>
        </w:rPr>
        <w:t>浅绿色，可见</w:t>
      </w:r>
      <w:r>
        <w:rPr>
          <w:rFonts w:hint="default" w:ascii="Times New Roman" w:hAnsi="Times New Roman" w:cs="Times New Roman"/>
        </w:rPr>
        <w:t>星状柔毛。气微，味淡。</w:t>
      </w:r>
    </w:p>
    <w:p w14:paraId="2CE43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（1）本品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枝</w:t>
      </w:r>
      <w:r>
        <w:rPr>
          <w:rFonts w:hint="default" w:ascii="Times New Roman" w:hAnsi="Times New Roman" w:eastAsia="宋体" w:cs="Times New Roman"/>
          <w:color w:val="000000"/>
          <w:sz w:val="24"/>
        </w:rPr>
        <w:t>横切面：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表皮残存，木栓细胞数列，栓内层细胞壁加厚。皮层有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粘液道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和草酸钙簇晶散在。韧皮部纤维束多呈切向断续排列，草酸钙簇晶散在。形成层成环。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木质部射线细胞一到两列；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木纤维不规则散在；导管类圆形，单个散在或两到三个成群。髓部与木质部相接处有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粘液道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；薄壁细胞中含有草酸钙簇晶。</w:t>
      </w:r>
    </w:p>
    <w:p w14:paraId="22578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粉末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绿色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至黄绿色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单细胞非腺毛众多，常星状簇生，略弯曲，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有的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highlight w:val="none"/>
          <w:lang w:val="en-US" w:eastAsia="zh-CN"/>
        </w:rPr>
        <w:t>壁增厚。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草酸钙簇晶直径10～55μm，存在于薄壁细胞中或单个散在。具缘纹孔导管直径18～60μm。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纤维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单个散在或成束，直径16～35μm，壁厚，胞腔线型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。</w:t>
      </w:r>
    </w:p>
    <w:p w14:paraId="443C6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（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取本品粉末0.5g，加甲醇30ml，加热回流30分钟，滤过，滤液蒸干，残渣加水15ml使溶解，用三氯甲烷20ml振摇提取，弃去三氯甲烷液，水液用水饱和的正丁醇25ml振摇提取，取正丁醇液，回收溶剂至干，残渣加无水乙醇2ml使溶解，作为供试品溶液。另取黄槿对照药材0.5g，同法制成对照药材溶液。再取芦丁对照品，加无水乙醇制成每1ml含0.5mg的溶液，作为对照品溶液。照薄层色谱法（《中国药典》2025年版通则0502）试验，吸取供试品溶液和对照药材溶液各2～5μl、对照品溶液1μl，分别点于同一硅胶G板上，以乙酸乙酯-甲酸-水 (8:1:1)为展开剂，展开，取出，晾干，喷以3％三氯化铝乙醇溶液，热风吹干，置紫外光灯(365nm)下检视。供试品色谱中，在与对照药材色谱和对照品色谱相应的位置上，显相同颜色的荧光斑点。</w:t>
      </w:r>
    </w:p>
    <w:p w14:paraId="4B39A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叶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不得少于30%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。</w:t>
      </w:r>
    </w:p>
    <w:p w14:paraId="6B67F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水分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不得过13.0%（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年版通则0832第二法）。</w:t>
      </w:r>
    </w:p>
    <w:p w14:paraId="65CC3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</w:rPr>
        <w:t>.0%（</w:t>
      </w:r>
      <w:bookmarkStart w:id="0" w:name="OLE_LINK120"/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年版通则230</w:t>
      </w:r>
      <w:bookmarkEnd w:id="0"/>
      <w:r>
        <w:rPr>
          <w:rFonts w:hint="default" w:ascii="Times New Roman" w:hAnsi="Times New Roman" w:eastAsia="宋体" w:cs="Times New Roman"/>
          <w:color w:val="000000"/>
          <w:sz w:val="24"/>
        </w:rPr>
        <w:t>2）。</w:t>
      </w:r>
    </w:p>
    <w:p w14:paraId="53B7C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照水溶性浸出物测定法（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年版通则2201）项下的热浸法测定，不得少于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sz w:val="24"/>
        </w:rPr>
        <w:t>.0%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 w14:paraId="21C21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特征图谱</w:t>
      </w:r>
      <w:r>
        <w:rPr>
          <w:rFonts w:hint="default" w:ascii="Times New Roman" w:hAnsi="Times New Roman" w:eastAsia="黑体" w:cs="Times New Roman"/>
          <w:color w:val="000000"/>
          <w:sz w:val="24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照高效液相色谱法（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年版通则0512）测定。</w:t>
      </w:r>
    </w:p>
    <w:p w14:paraId="2A85E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色谱条件与系统适用性试验 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同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〔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含量测定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〕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项下。</w:t>
      </w:r>
    </w:p>
    <w:p w14:paraId="2013A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参照物溶液的制备 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取芦丁对照品适量，精密称定，加70%甲醇制成每1ml含0.10mg的溶液，即得。</w:t>
      </w:r>
    </w:p>
    <w:p w14:paraId="776B7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 xml:space="preserve">供试品溶液的制备  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同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〔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含量测定</w:t>
      </w:r>
      <w:r>
        <w:rPr>
          <w:rFonts w:hint="default" w:ascii="Times New Roman" w:hAnsi="Times New Roman" w:eastAsia="微软雅黑" w:cs="Times New Roman"/>
          <w:color w:val="000000"/>
          <w:sz w:val="24"/>
          <w:lang w:val="en-US" w:eastAsia="zh-CN"/>
        </w:rPr>
        <w:t>〕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项下。</w:t>
      </w:r>
    </w:p>
    <w:p w14:paraId="487EC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测定法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 xml:space="preserve">  分别精密吸取参照物溶液与供试品溶液各20μl，注入液相色谱仪，测定，即得。</w:t>
      </w:r>
    </w:p>
    <w:p w14:paraId="5787C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供试品特征图谱中应呈现6个特征峰，与参照物峰相应的峰为S峰，计算各特征峰与S峰的相对保留时间，应在规定值的</w:t>
      </w:r>
      <w:r>
        <w:rPr>
          <w:rFonts w:hint="default" w:ascii="Times New Roman" w:hAnsi="Times New Roman" w:eastAsia="宋体" w:cs="Times New Roman"/>
          <w:sz w:val="24"/>
          <w:szCs w:val="24"/>
        </w:rPr>
        <w:t>±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10%之内，规定值为：</w:t>
      </w:r>
      <w:r>
        <w:rPr>
          <w:rFonts w:hint="default" w:ascii="Times New Roman" w:hAnsi="Times New Roman" w:eastAsia="宋体" w:cs="Times New Roman"/>
          <w:sz w:val="24"/>
          <w:szCs w:val="24"/>
        </w:rPr>
        <w:t>0.2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（峰1）、0.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sz w:val="24"/>
          <w:szCs w:val="24"/>
        </w:rPr>
        <w:t>（峰2）、0.8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（峰3）、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1.10</w:t>
      </w:r>
      <w:r>
        <w:rPr>
          <w:rFonts w:hint="default" w:ascii="Times New Roman" w:hAnsi="Times New Roman" w:eastAsia="宋体" w:cs="Times New Roman"/>
          <w:sz w:val="24"/>
          <w:szCs w:val="24"/>
        </w:rPr>
        <w:t>（峰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）、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1.38</w:t>
      </w:r>
      <w:r>
        <w:rPr>
          <w:rFonts w:hint="default" w:ascii="Times New Roman" w:hAnsi="Times New Roman" w:eastAsia="宋体" w:cs="Times New Roman"/>
          <w:sz w:val="24"/>
          <w:szCs w:val="24"/>
        </w:rPr>
        <w:t>（峰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</w:p>
    <w:p w14:paraId="3160B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1160145</wp:posOffset>
                </wp:positionV>
                <wp:extent cx="578485" cy="4362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F8ACE"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65pt;margin-top:91.35pt;height:34.35pt;width:45.55pt;z-index:251664384;mso-width-relative:page;mso-height-relative:page;" filled="f" stroked="f" coordsize="21600,21600" o:gfxdata="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hTmqt3AAAAAsBAAAPAAAAAAAAAAEAIAAAACIAAABk&#10;cnMvZG93bnJldi54bWxQSwECFAAUAAAACACHTuJAHN4AVjsCAABl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BBF8ACE"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1214120</wp:posOffset>
                </wp:positionV>
                <wp:extent cx="578485" cy="4362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6FC95"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4pt;margin-top:95.6pt;height:34.35pt;width:45.55pt;z-index:251663360;mso-width-relative:page;mso-height-relative:page;" filled="f" stroked="f" coordsize="21600,21600" o:gfxdata="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lVZ5j2wAAAAsBAAAPAAAAAAAAAAEAIAAAACIAAABk&#10;cnMvZG93bnJldi54bWxQSwECFAAUAAAACACHTuJAhG4GFTwCAABl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586FC95"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109220</wp:posOffset>
                </wp:positionV>
                <wp:extent cx="854075" cy="4362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08F52"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4（S）（是）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pt;margin-top:8.6pt;height:34.35pt;width:67.25pt;z-index:251662336;mso-width-relative:page;mso-height-relative:page;" filled="f" stroked="f" coordsize="21600,21600" o:gfxdata="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ia4kDbAAAACQEAAA8AAAAAAAAAAQAgAAAAIgAAAGRy&#10;cy9kb3ducmV2LnhtbFBLAQIUABQAAAAIAIdO4kA7A3ZXOwIAAGU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4908F52"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4（S）（是）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1115695</wp:posOffset>
                </wp:positionV>
                <wp:extent cx="578485" cy="4362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AB0C47"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1pt;margin-top:87.85pt;height:34.35pt;width:45.55pt;z-index:251661312;mso-width-relative:page;mso-height-relative:page;" filled="f" stroked="f" coordsize="21600,21600" o:gfxdata="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2R6IdwAAAALAQAADwAAAAAAAAABACAAAAAiAAAA&#10;ZHJzL2Rvd25yZXYueG1sUEsBAhQAFAAAAAgAh07iQLQPC5M8AgAAZQ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0AB0C47"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502920</wp:posOffset>
                </wp:positionV>
                <wp:extent cx="578485" cy="4362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39499"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2pt;margin-top:39.6pt;height:34.35pt;width:45.55pt;z-index:251660288;mso-width-relative:page;mso-height-relative:page;" filled="f" stroked="f" coordsize="21600,21600" o:gfxdata="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nDXp22wAAAAoBAAAPAAAAAAAAAAEAIAAAACIAAABk&#10;cnMvZG93bnJldi54bWxQSwECFAAUAAAACACHTuJAA2ImGzwCAABl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4E39499"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350520</wp:posOffset>
                </wp:positionV>
                <wp:extent cx="578485" cy="43624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70735" y="5340985"/>
                          <a:ext cx="578485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6A4B4">
                            <w:pPr>
                              <w:rPr>
                                <w:rFonts w:hint="default" w:ascii="Times New Roman" w:hAnsi="Times New Roman" w:eastAsia="宋体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85pt;margin-top:27.6pt;height:34.35pt;width:45.55pt;z-index:251659264;mso-width-relative:page;mso-height-relative:page;" filled="f" stroked="f" coordsize="21600,21600" o:gfxdata="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VDLnzaAAAACQEAAA8AAAAAAAAA&#10;AQAgAAAAIgAAAGRycy9kb3ducmV2LnhtbFBLAQIUABQAAAAIAIdO4kDNGnnISAIAAHE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226A4B4">
                      <w:pPr>
                        <w:rPr>
                          <w:rFonts w:hint="default" w:ascii="Times New Roman" w:hAnsi="Times New Roman" w:eastAsia="宋体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5309870" cy="2115185"/>
            <wp:effectExtent l="0" t="0" r="5080" b="18415"/>
            <wp:docPr id="81" name="图片 81" descr="特征图谱对照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特征图谱对照图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9870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8B7F1">
      <w:pPr>
        <w:spacing w:line="360" w:lineRule="auto"/>
        <w:ind w:firstLine="420" w:firstLineChars="200"/>
        <w:jc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对照特征图谱</w:t>
      </w:r>
    </w:p>
    <w:p w14:paraId="47DCD7BC">
      <w:pPr>
        <w:spacing w:line="360" w:lineRule="auto"/>
        <w:ind w:firstLine="210" w:firstLineChars="100"/>
        <w:jc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4"/>
          <w:lang w:val="en-US" w:eastAsia="zh-CN"/>
        </w:rPr>
        <w:t>峰4：芦丁；峰5：异槲皮苷；峰6：山柰酚-3-</w:t>
      </w:r>
      <w:r>
        <w:rPr>
          <w:rFonts w:hint="default" w:ascii="Times New Roman" w:hAnsi="Times New Roman" w:eastAsia="宋体" w:cs="Times New Roman"/>
          <w:i/>
          <w:iCs/>
          <w:sz w:val="21"/>
          <w:szCs w:val="24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4"/>
          <w:lang w:val="en-US" w:eastAsia="zh-CN"/>
        </w:rPr>
        <w:t>-芸香糖苷</w:t>
      </w:r>
    </w:p>
    <w:p w14:paraId="789F0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/>
          <w:sz w:val="24"/>
        </w:rPr>
      </w:pPr>
    </w:p>
    <w:p w14:paraId="610CF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照高效液相色谱法（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>年版通则0512）测定。</w:t>
      </w:r>
    </w:p>
    <w:p w14:paraId="45BD9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色谱条件与系统适用性试验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以十八烷基硅烷键合硅胶为填充剂；以乙腈为流动相A，以0.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磷酸</w:t>
      </w:r>
      <w:r>
        <w:rPr>
          <w:rFonts w:hint="default" w:ascii="Times New Roman" w:hAnsi="Times New Roman" w:eastAsia="宋体" w:cs="Times New Roman"/>
          <w:color w:val="000000"/>
          <w:sz w:val="24"/>
        </w:rPr>
        <w:t>酸为流动相B；按下表进行梯度洗脱；检测波长为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350</w:t>
      </w:r>
      <w:r>
        <w:rPr>
          <w:rFonts w:hint="default" w:ascii="Times New Roman" w:hAnsi="Times New Roman" w:eastAsia="宋体" w:cs="Times New Roman"/>
          <w:color w:val="000000"/>
          <w:sz w:val="24"/>
        </w:rPr>
        <w:t>nm。理论板数按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芦丁</w:t>
      </w:r>
      <w:r>
        <w:rPr>
          <w:rFonts w:hint="default" w:ascii="Times New Roman" w:hAnsi="Times New Roman" w:eastAsia="宋体" w:cs="Times New Roman"/>
          <w:color w:val="000000"/>
          <w:sz w:val="24"/>
        </w:rPr>
        <w:t>峰计算应不低于5000。</w:t>
      </w:r>
    </w:p>
    <w:tbl>
      <w:tblPr>
        <w:tblStyle w:val="8"/>
        <w:tblW w:w="4999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2969"/>
        <w:gridCol w:w="2953"/>
      </w:tblGrid>
      <w:tr w14:paraId="3A92E2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1524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2FA5C15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</w:rPr>
              <w:t>时间（min）</w:t>
            </w:r>
          </w:p>
        </w:tc>
        <w:tc>
          <w:tcPr>
            <w:tcW w:w="1742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A53AC02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</w:rPr>
              <w:t>流动相A（%）</w:t>
            </w:r>
          </w:p>
        </w:tc>
        <w:tc>
          <w:tcPr>
            <w:tcW w:w="1732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5368D9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</w:rPr>
              <w:t>流动相B（%）</w:t>
            </w:r>
          </w:p>
        </w:tc>
      </w:tr>
      <w:tr w14:paraId="3BD7990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4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 w14:paraId="224ED41C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0～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742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 w14:paraId="3050669F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732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 w14:paraId="3620871D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92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85</w:t>
            </w:r>
          </w:p>
        </w:tc>
      </w:tr>
      <w:tr w14:paraId="51D53C3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4" w:type="pct"/>
            <w:shd w:val="clear" w:color="auto" w:fill="auto"/>
            <w:noWrap/>
            <w:vAlign w:val="bottom"/>
          </w:tcPr>
          <w:p w14:paraId="65FA6EF3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～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742" w:type="pct"/>
            <w:shd w:val="clear" w:color="auto" w:fill="auto"/>
            <w:noWrap/>
            <w:vAlign w:val="bottom"/>
          </w:tcPr>
          <w:p w14:paraId="0C7F5FC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732" w:type="pct"/>
            <w:shd w:val="clear" w:color="auto" w:fill="auto"/>
            <w:noWrap/>
            <w:vAlign w:val="bottom"/>
          </w:tcPr>
          <w:p w14:paraId="518E9461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85</w:t>
            </w:r>
          </w:p>
        </w:tc>
      </w:tr>
      <w:tr w14:paraId="129B5C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24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0EFAC37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0～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742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FA945D6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732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93535B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85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→</w:t>
            </w:r>
            <w:r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  <w:t>80</w:t>
            </w:r>
          </w:p>
        </w:tc>
      </w:tr>
    </w:tbl>
    <w:p w14:paraId="7BE95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对照品溶液的制备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芦丁</w:t>
      </w:r>
      <w:r>
        <w:rPr>
          <w:rFonts w:hint="default" w:ascii="Times New Roman" w:hAnsi="Times New Roman" w:eastAsia="宋体" w:cs="Times New Roman"/>
          <w:color w:val="000000"/>
          <w:sz w:val="24"/>
        </w:rPr>
        <w:t>对照品适量，精密称定，加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70%</w:t>
      </w:r>
      <w:r>
        <w:rPr>
          <w:rFonts w:hint="default" w:ascii="Times New Roman" w:hAnsi="Times New Roman" w:eastAsia="宋体" w:cs="Times New Roman"/>
          <w:color w:val="000000"/>
          <w:sz w:val="24"/>
        </w:rPr>
        <w:t>甲醇制成每1ml含0.1mg的溶液，即得。</w:t>
      </w:r>
    </w:p>
    <w:p w14:paraId="2B0E9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供试品溶液的制备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取本品约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0.5</w:t>
      </w:r>
      <w:r>
        <w:rPr>
          <w:rFonts w:hint="default" w:ascii="Times New Roman" w:hAnsi="Times New Roman" w:eastAsia="宋体" w:cs="Times New Roman"/>
          <w:color w:val="000000"/>
          <w:sz w:val="24"/>
        </w:rPr>
        <w:t>g，精密称定，置具塞锥形瓶中，精密加入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70%</w:t>
      </w:r>
      <w:r>
        <w:rPr>
          <w:rFonts w:hint="default" w:ascii="Times New Roman" w:hAnsi="Times New Roman" w:eastAsia="宋体" w:cs="Times New Roman"/>
          <w:color w:val="000000"/>
          <w:sz w:val="24"/>
        </w:rPr>
        <w:t>甲醇2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ml，密塞，称定重量，超声处理（功率360W，频率4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000000"/>
          <w:sz w:val="24"/>
        </w:rPr>
        <w:t>kHz）30分钟，放冷，再称定重量，用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70%</w:t>
      </w:r>
      <w:r>
        <w:rPr>
          <w:rFonts w:hint="default" w:ascii="Times New Roman" w:hAnsi="Times New Roman" w:eastAsia="宋体" w:cs="Times New Roman"/>
          <w:color w:val="000000"/>
          <w:sz w:val="24"/>
        </w:rPr>
        <w:t>甲醇补足减失的重量，摇匀，滤过，取续滤液，即得。</w:t>
      </w:r>
    </w:p>
    <w:p w14:paraId="50715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测定法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分别精密吸取对照品溶液10µ1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000000"/>
          <w:sz w:val="24"/>
        </w:rPr>
        <w:t>供试品溶液10～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000000"/>
          <w:sz w:val="24"/>
        </w:rPr>
        <w:t>µ1，注入液相色谱仪，测定，即得。</w:t>
      </w:r>
    </w:p>
    <w:p w14:paraId="6DF42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按干燥品计算，</w:t>
      </w:r>
      <w:bookmarkStart w:id="1" w:name="_GoBack"/>
      <w:r>
        <w:rPr>
          <w:rFonts w:hint="default" w:ascii="Times New Roman" w:hAnsi="Times New Roman" w:eastAsia="宋体" w:cs="Times New Roman"/>
          <w:color w:val="000000"/>
          <w:sz w:val="24"/>
        </w:rPr>
        <w:t>本品</w:t>
      </w:r>
      <w:bookmarkEnd w:id="1"/>
      <w:r>
        <w:rPr>
          <w:rFonts w:hint="default" w:ascii="Times New Roman" w:hAnsi="Times New Roman" w:eastAsia="宋体" w:cs="Times New Roman"/>
          <w:color w:val="000000"/>
          <w:sz w:val="24"/>
        </w:rPr>
        <w:t>含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芦丁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（C</w:t>
      </w:r>
      <w:r>
        <w:rPr>
          <w:rFonts w:hint="default" w:ascii="Times New Roman" w:hAnsi="Times New Roman" w:eastAsia="宋体" w:cs="Times New Roman"/>
          <w:color w:val="000000"/>
          <w:sz w:val="13"/>
          <w:szCs w:val="13"/>
        </w:rPr>
        <w:t>2</w:t>
      </w:r>
      <w:r>
        <w:rPr>
          <w:rFonts w:hint="default" w:ascii="Times New Roman" w:hAnsi="Times New Roman" w:eastAsia="宋体" w:cs="Times New Roman"/>
          <w:color w:val="000000"/>
          <w:sz w:val="13"/>
          <w:szCs w:val="13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sz w:val="24"/>
        </w:rPr>
        <w:t>H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color w:val="000000"/>
          <w:sz w:val="24"/>
        </w:rPr>
        <w:t>O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）不得少于</w:t>
      </w:r>
      <w:r>
        <w:rPr>
          <w:rFonts w:hint="default" w:ascii="Times New Roman" w:hAnsi="Times New Roman" w:eastAsia="宋体" w:cs="Times New Roman"/>
          <w:sz w:val="24"/>
        </w:rPr>
        <w:t>0.</w:t>
      </w:r>
      <w:r>
        <w:rPr>
          <w:rFonts w:hint="default" w:ascii="Times New Roman" w:hAnsi="Times New Roman" w:cs="Times New Roman"/>
          <w:sz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sz w:val="24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 w14:paraId="7E59173F">
      <w:pPr>
        <w:spacing w:line="360" w:lineRule="auto"/>
        <w:ind w:left="0" w:leftChars="0" w:firstLine="420" w:firstLineChars="175"/>
        <w:rPr>
          <w:rFonts w:hint="default" w:ascii="Times New Roman" w:hAnsi="Times New Roman" w:eastAsia="黑体" w:cs="Times New Roman"/>
          <w:color w:val="000000"/>
          <w:sz w:val="24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 w14:paraId="15C13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辛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苦，寒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归肺、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心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经。</w:t>
      </w:r>
    </w:p>
    <w:p w14:paraId="339A2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清热止咳，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解毒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消肿。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用于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风热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感冒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咽喉肿痛，肺热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咳嗽，疮痈肿痛。</w:t>
      </w:r>
    </w:p>
    <w:p w14:paraId="368AF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</w:rPr>
        <w:t>～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000000"/>
          <w:sz w:val="24"/>
        </w:rPr>
        <w:t>g。</w:t>
      </w:r>
    </w:p>
    <w:p w14:paraId="6647F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置干燥处。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C2E09"/>
    <w:rsid w:val="06C947A0"/>
    <w:rsid w:val="0DC163B7"/>
    <w:rsid w:val="0F93235F"/>
    <w:rsid w:val="0FD60138"/>
    <w:rsid w:val="10B1603A"/>
    <w:rsid w:val="1278336A"/>
    <w:rsid w:val="12CE4E68"/>
    <w:rsid w:val="151E46C2"/>
    <w:rsid w:val="19303370"/>
    <w:rsid w:val="20D75230"/>
    <w:rsid w:val="217B1617"/>
    <w:rsid w:val="239448A4"/>
    <w:rsid w:val="250F789B"/>
    <w:rsid w:val="25EA5BEB"/>
    <w:rsid w:val="27825800"/>
    <w:rsid w:val="298470CF"/>
    <w:rsid w:val="2B6C2E09"/>
    <w:rsid w:val="31BB18D3"/>
    <w:rsid w:val="32EB3E7E"/>
    <w:rsid w:val="35B569D4"/>
    <w:rsid w:val="385E74CA"/>
    <w:rsid w:val="3A3145F6"/>
    <w:rsid w:val="3ABE0995"/>
    <w:rsid w:val="3B3D5E14"/>
    <w:rsid w:val="3B7B2D17"/>
    <w:rsid w:val="3C5C1637"/>
    <w:rsid w:val="3DB11EF4"/>
    <w:rsid w:val="42C615B8"/>
    <w:rsid w:val="433462E7"/>
    <w:rsid w:val="445A3EA3"/>
    <w:rsid w:val="45223343"/>
    <w:rsid w:val="48256D81"/>
    <w:rsid w:val="48EB4B98"/>
    <w:rsid w:val="4CC40B09"/>
    <w:rsid w:val="50653CC8"/>
    <w:rsid w:val="52A62A1F"/>
    <w:rsid w:val="5613192D"/>
    <w:rsid w:val="56D836B5"/>
    <w:rsid w:val="57FB7AFE"/>
    <w:rsid w:val="58BA6694"/>
    <w:rsid w:val="590F1D89"/>
    <w:rsid w:val="5EA41270"/>
    <w:rsid w:val="60673F83"/>
    <w:rsid w:val="61EB5793"/>
    <w:rsid w:val="6AD14D4C"/>
    <w:rsid w:val="6BFB7C75"/>
    <w:rsid w:val="6C8127EF"/>
    <w:rsid w:val="6D8B3775"/>
    <w:rsid w:val="6E3B6506"/>
    <w:rsid w:val="704D7BA9"/>
    <w:rsid w:val="76B75E81"/>
    <w:rsid w:val="79AC72A6"/>
    <w:rsid w:val="7E496D13"/>
    <w:rsid w:val="7E97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ascii="Times New Roman" w:hAnsi="Times New Roman" w:eastAsiaTheme="minorEastAsia"/>
      <w:b/>
      <w:kern w:val="44"/>
      <w:sz w:val="28"/>
      <w:szCs w:val="22"/>
    </w:rPr>
  </w:style>
  <w:style w:type="paragraph" w:styleId="3">
    <w:name w:val="heading 2"/>
    <w:basedOn w:val="2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Times New Roman" w:hAnsi="Times New Roman"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Times New Roman" w:hAnsi="Times New Roman"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</w:style>
  <w:style w:type="paragraph" w:customStyle="1" w:styleId="10">
    <w:name w:val="一级标题"/>
    <w:qFormat/>
    <w:uiPriority w:val="0"/>
    <w:pPr>
      <w:keepNext/>
      <w:keepLines/>
      <w:widowControl w:val="0"/>
      <w:spacing w:before="0" w:after="0"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1">
    <w:name w:val="二级标题"/>
    <w:qFormat/>
    <w:uiPriority w:val="0"/>
    <w:pPr>
      <w:keepNext/>
      <w:keepLines/>
      <w:widowControl w:val="0"/>
      <w:spacing w:before="0" w:after="0"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1548</Words>
  <Characters>1824</Characters>
  <Lines>0</Lines>
  <Paragraphs>0</Paragraphs>
  <TotalTime>1</TotalTime>
  <ScaleCrop>false</ScaleCrop>
  <LinksUpToDate>false</LinksUpToDate>
  <CharactersWithSpaces>1853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2025-06-29T03:20:00Z</dcterms:created>
  <dc:creator>凌婕</dc:creator>
  <cp:lastModifiedBy>木木</cp:lastModifiedBy>
  <dcterms:modified xsi:type="dcterms:W3CDTF">2025-11-22T03:37:11Z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654B283042784D67B02D1B8A5FD537E1_13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